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141B" w14:textId="0D71953A" w:rsidR="00121B2B" w:rsidRPr="008F4252" w:rsidRDefault="00121B2B">
      <w:pPr>
        <w:rPr>
          <w:b/>
          <w:bCs/>
          <w:sz w:val="28"/>
          <w:szCs w:val="28"/>
        </w:rPr>
      </w:pPr>
      <w:r w:rsidRPr="008F4252">
        <w:rPr>
          <w:b/>
          <w:bCs/>
          <w:sz w:val="28"/>
          <w:szCs w:val="28"/>
        </w:rPr>
        <w:t xml:space="preserve">Prognosis </w:t>
      </w:r>
      <w:r w:rsidR="00A1782C" w:rsidRPr="008F4252">
        <w:rPr>
          <w:b/>
          <w:bCs/>
          <w:sz w:val="28"/>
          <w:szCs w:val="28"/>
        </w:rPr>
        <w:t xml:space="preserve">of oral squamous cell carcinoma using IR </w:t>
      </w:r>
      <w:proofErr w:type="spellStart"/>
      <w:r w:rsidR="00A1782C" w:rsidRPr="008F4252">
        <w:rPr>
          <w:b/>
          <w:bCs/>
          <w:sz w:val="28"/>
          <w:szCs w:val="28"/>
        </w:rPr>
        <w:t>microspectroscopy</w:t>
      </w:r>
      <w:proofErr w:type="spellEnd"/>
    </w:p>
    <w:p w14:paraId="59769B93" w14:textId="363B3783" w:rsidR="008F4252" w:rsidRDefault="008F4252">
      <w:pPr>
        <w:rPr>
          <w:b/>
          <w:bCs/>
          <w:sz w:val="28"/>
          <w:szCs w:val="28"/>
        </w:rPr>
      </w:pPr>
    </w:p>
    <w:p w14:paraId="3C02485C" w14:textId="2700F630" w:rsidR="008F4252" w:rsidRDefault="008F4252">
      <w:pPr>
        <w:rPr>
          <w:b/>
          <w:bCs/>
          <w:sz w:val="28"/>
          <w:szCs w:val="28"/>
        </w:rPr>
      </w:pPr>
      <w:r w:rsidRPr="002F1DA8">
        <w:rPr>
          <w:b/>
          <w:bCs/>
          <w:sz w:val="28"/>
          <w:szCs w:val="28"/>
        </w:rPr>
        <w:t>Background</w:t>
      </w:r>
    </w:p>
    <w:p w14:paraId="6AF148E8" w14:textId="77777777" w:rsidR="00486059" w:rsidRDefault="00486059">
      <w:pPr>
        <w:rPr>
          <w:b/>
          <w:bCs/>
          <w:sz w:val="28"/>
          <w:szCs w:val="28"/>
        </w:rPr>
      </w:pPr>
    </w:p>
    <w:p w14:paraId="536A1E0B" w14:textId="713C07B7" w:rsidR="002F1DA8" w:rsidRPr="00486059" w:rsidRDefault="004860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Oral squamous cell carcinoma</w:t>
      </w:r>
    </w:p>
    <w:p w14:paraId="69427C0B" w14:textId="712FDEE5" w:rsidR="008F4252" w:rsidRPr="007F4DC5" w:rsidRDefault="00AB623F" w:rsidP="008F42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Oral squamous cell carcinoma </w:t>
      </w:r>
      <w:r w:rsidR="0032516C">
        <w:rPr>
          <w:sz w:val="24"/>
          <w:szCs w:val="24"/>
        </w:rPr>
        <w:t xml:space="preserve">(OSCC) </w:t>
      </w:r>
      <w:r>
        <w:rPr>
          <w:sz w:val="24"/>
          <w:szCs w:val="24"/>
        </w:rPr>
        <w:t>is the 8</w:t>
      </w:r>
      <w:r w:rsidRPr="00AB62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most common cancer in the </w:t>
      </w:r>
      <w:r w:rsidR="00BC5C4C">
        <w:rPr>
          <w:sz w:val="24"/>
          <w:szCs w:val="24"/>
        </w:rPr>
        <w:t>UK</w:t>
      </w:r>
      <w:r w:rsidR="007F4DC5">
        <w:rPr>
          <w:sz w:val="24"/>
          <w:szCs w:val="24"/>
          <w:vertAlign w:val="superscript"/>
        </w:rPr>
        <w:t>1</w:t>
      </w:r>
    </w:p>
    <w:p w14:paraId="789CC2C1" w14:textId="77777777" w:rsidR="00695DA3" w:rsidRDefault="00BB029F" w:rsidP="008F42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OSCC is diagnosed by pathological assessment of biopsy</w:t>
      </w:r>
      <w:r w:rsidR="00695DA3">
        <w:rPr>
          <w:sz w:val="24"/>
          <w:szCs w:val="24"/>
        </w:rPr>
        <w:t xml:space="preserve"> material</w:t>
      </w:r>
    </w:p>
    <w:p w14:paraId="14F56487" w14:textId="47BEAA6C" w:rsidR="00C63DEB" w:rsidRDefault="007F4DC5" w:rsidP="008F42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Treatment in the UK involves surgery</w:t>
      </w:r>
      <w:r w:rsidR="00C63DEB">
        <w:rPr>
          <w:sz w:val="24"/>
          <w:szCs w:val="24"/>
        </w:rPr>
        <w:t xml:space="preserve"> that is usually followed by radio- or chemo radiotherapy. </w:t>
      </w:r>
    </w:p>
    <w:p w14:paraId="05C63334" w14:textId="4061FDD1" w:rsidR="006E6E23" w:rsidRDefault="006E6E23" w:rsidP="008F42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Survival beyond 5 years has remained</w:t>
      </w:r>
      <w:r w:rsidR="00821564">
        <w:rPr>
          <w:sz w:val="24"/>
          <w:szCs w:val="24"/>
        </w:rPr>
        <w:t xml:space="preserve"> almost </w:t>
      </w:r>
      <w:r>
        <w:rPr>
          <w:sz w:val="24"/>
          <w:szCs w:val="24"/>
        </w:rPr>
        <w:t xml:space="preserve"> static at 50</w:t>
      </w:r>
      <w:r w:rsidR="00343709">
        <w:rPr>
          <w:sz w:val="24"/>
          <w:szCs w:val="24"/>
        </w:rPr>
        <w:t>% for many years</w:t>
      </w:r>
      <w:r w:rsidR="005E4734">
        <w:rPr>
          <w:sz w:val="24"/>
          <w:szCs w:val="24"/>
        </w:rPr>
        <w:t xml:space="preserve">, despite </w:t>
      </w:r>
      <w:r w:rsidR="005E1974">
        <w:rPr>
          <w:sz w:val="24"/>
          <w:szCs w:val="24"/>
        </w:rPr>
        <w:t>new treatme</w:t>
      </w:r>
      <w:r w:rsidR="00FF2740">
        <w:rPr>
          <w:sz w:val="24"/>
          <w:szCs w:val="24"/>
        </w:rPr>
        <w:t>n</w:t>
      </w:r>
      <w:r w:rsidR="005E1974">
        <w:rPr>
          <w:sz w:val="24"/>
          <w:szCs w:val="24"/>
        </w:rPr>
        <w:t>ts</w:t>
      </w:r>
      <w:r w:rsidR="00821564">
        <w:rPr>
          <w:sz w:val="24"/>
          <w:szCs w:val="24"/>
          <w:vertAlign w:val="superscript"/>
        </w:rPr>
        <w:t>1</w:t>
      </w:r>
      <w:r w:rsidR="002301B9">
        <w:rPr>
          <w:sz w:val="24"/>
          <w:szCs w:val="24"/>
        </w:rPr>
        <w:t>. The majority of patients who died, succumbed within 2 years from diagnosis.</w:t>
      </w:r>
    </w:p>
    <w:p w14:paraId="692F37C8" w14:textId="370C8EDA" w:rsidR="007F4DC5" w:rsidRPr="00F226B2" w:rsidRDefault="00FF2740" w:rsidP="007F4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Post-surgery t</w:t>
      </w:r>
      <w:r w:rsidR="00C63DEB">
        <w:rPr>
          <w:sz w:val="24"/>
          <w:szCs w:val="24"/>
        </w:rPr>
        <w:t>reatme</w:t>
      </w:r>
      <w:r>
        <w:rPr>
          <w:sz w:val="24"/>
          <w:szCs w:val="24"/>
        </w:rPr>
        <w:t xml:space="preserve">nt plans </w:t>
      </w:r>
      <w:r w:rsidR="005B35E1">
        <w:rPr>
          <w:sz w:val="24"/>
          <w:szCs w:val="24"/>
        </w:rPr>
        <w:t>are dependent on an accurate prediction of</w:t>
      </w:r>
      <w:r w:rsidR="00A03960">
        <w:rPr>
          <w:sz w:val="24"/>
          <w:szCs w:val="24"/>
        </w:rPr>
        <w:t xml:space="preserve"> the risk of</w:t>
      </w:r>
      <w:r w:rsidR="005B35E1">
        <w:rPr>
          <w:sz w:val="24"/>
          <w:szCs w:val="24"/>
        </w:rPr>
        <w:t xml:space="preserve"> recurrence (at the same site) and metastasis (at </w:t>
      </w:r>
      <w:r w:rsidR="008616DA">
        <w:rPr>
          <w:sz w:val="24"/>
          <w:szCs w:val="24"/>
        </w:rPr>
        <w:t>distant sites) with one of the most important predictor</w:t>
      </w:r>
      <w:r w:rsidR="00CF4870">
        <w:rPr>
          <w:sz w:val="24"/>
          <w:szCs w:val="24"/>
        </w:rPr>
        <w:t xml:space="preserve">s being cancer spread to local lymph nodes </w:t>
      </w:r>
      <w:r w:rsidR="003714F3">
        <w:rPr>
          <w:sz w:val="24"/>
          <w:szCs w:val="24"/>
        </w:rPr>
        <w:t xml:space="preserve">and </w:t>
      </w:r>
      <w:r w:rsidR="00F132A7">
        <w:rPr>
          <w:sz w:val="24"/>
          <w:szCs w:val="24"/>
        </w:rPr>
        <w:t xml:space="preserve">its </w:t>
      </w:r>
      <w:r w:rsidR="00724F0B">
        <w:rPr>
          <w:sz w:val="24"/>
          <w:szCs w:val="24"/>
        </w:rPr>
        <w:t xml:space="preserve">breaking out of the lymph node capsule (called </w:t>
      </w:r>
      <w:proofErr w:type="spellStart"/>
      <w:r w:rsidR="00724F0B">
        <w:rPr>
          <w:sz w:val="24"/>
          <w:szCs w:val="24"/>
        </w:rPr>
        <w:t>extranodal</w:t>
      </w:r>
      <w:proofErr w:type="spellEnd"/>
      <w:r w:rsidR="00724F0B">
        <w:rPr>
          <w:sz w:val="24"/>
          <w:szCs w:val="24"/>
        </w:rPr>
        <w:t xml:space="preserve"> extension </w:t>
      </w:r>
      <w:r w:rsidR="00395249">
        <w:rPr>
          <w:sz w:val="24"/>
          <w:szCs w:val="24"/>
        </w:rPr>
        <w:t xml:space="preserve">[ENE] or </w:t>
      </w:r>
      <w:proofErr w:type="spellStart"/>
      <w:r w:rsidR="00395249">
        <w:rPr>
          <w:sz w:val="24"/>
          <w:szCs w:val="24"/>
        </w:rPr>
        <w:t>extracapsular</w:t>
      </w:r>
      <w:proofErr w:type="spellEnd"/>
      <w:r w:rsidR="00395249">
        <w:rPr>
          <w:sz w:val="24"/>
          <w:szCs w:val="24"/>
        </w:rPr>
        <w:t xml:space="preserve"> spread [ECS]</w:t>
      </w:r>
      <w:r w:rsidR="006B06F5">
        <w:rPr>
          <w:sz w:val="24"/>
          <w:szCs w:val="24"/>
        </w:rPr>
        <w:t>)</w:t>
      </w:r>
      <w:r w:rsidR="00A86295">
        <w:rPr>
          <w:sz w:val="24"/>
          <w:szCs w:val="24"/>
          <w:vertAlign w:val="superscript"/>
        </w:rPr>
        <w:t>2</w:t>
      </w:r>
    </w:p>
    <w:p w14:paraId="2F347927" w14:textId="5288331B" w:rsidR="00F226B2" w:rsidRDefault="005171D5" w:rsidP="007F4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ENE can only be definitively determined after pathological assessment of the surgical resection</w:t>
      </w:r>
      <w:r w:rsidR="00EB7478">
        <w:rPr>
          <w:sz w:val="24"/>
          <w:szCs w:val="24"/>
        </w:rPr>
        <w:t xml:space="preserve"> specimen</w:t>
      </w:r>
      <w:r w:rsidR="00A86295">
        <w:rPr>
          <w:sz w:val="24"/>
          <w:szCs w:val="24"/>
        </w:rPr>
        <w:t xml:space="preserve">, but new treatment plans might involve pre-surgery </w:t>
      </w:r>
      <w:proofErr w:type="spellStart"/>
      <w:r w:rsidR="009B78FD">
        <w:rPr>
          <w:sz w:val="24"/>
          <w:szCs w:val="24"/>
        </w:rPr>
        <w:t>immuno</w:t>
      </w:r>
      <w:proofErr w:type="spellEnd"/>
      <w:r w:rsidR="009B78FD">
        <w:rPr>
          <w:sz w:val="24"/>
          <w:szCs w:val="24"/>
        </w:rPr>
        <w:t>- or chemotherapy.</w:t>
      </w:r>
    </w:p>
    <w:p w14:paraId="5C1CD41C" w14:textId="77777777" w:rsidR="009B78FD" w:rsidRDefault="009B78FD" w:rsidP="00816C57">
      <w:pPr>
        <w:pStyle w:val="ListParagraph"/>
        <w:rPr>
          <w:sz w:val="24"/>
          <w:szCs w:val="24"/>
        </w:rPr>
      </w:pPr>
    </w:p>
    <w:p w14:paraId="5E8700DF" w14:textId="440414F8" w:rsidR="00816C57" w:rsidRDefault="00363448" w:rsidP="008B5F2F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Clinical need</w:t>
      </w:r>
    </w:p>
    <w:p w14:paraId="3DDF77D8" w14:textId="4400BC3B" w:rsidR="00363448" w:rsidRPr="00D42D01" w:rsidRDefault="00363448" w:rsidP="00363448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 accurate prognostic </w:t>
      </w:r>
      <w:r w:rsidR="00D42D01">
        <w:rPr>
          <w:sz w:val="24"/>
          <w:szCs w:val="24"/>
        </w:rPr>
        <w:t>indicator available prior to surgery</w:t>
      </w:r>
      <w:r w:rsidR="00CF5116">
        <w:rPr>
          <w:sz w:val="24"/>
          <w:szCs w:val="24"/>
        </w:rPr>
        <w:t xml:space="preserve"> </w:t>
      </w:r>
      <w:r w:rsidR="00695DA3">
        <w:rPr>
          <w:sz w:val="24"/>
          <w:szCs w:val="24"/>
        </w:rPr>
        <w:t>(i.e.</w:t>
      </w:r>
      <w:r w:rsidR="00F968EA">
        <w:rPr>
          <w:sz w:val="24"/>
          <w:szCs w:val="24"/>
        </w:rPr>
        <w:t xml:space="preserve">using </w:t>
      </w:r>
      <w:r w:rsidR="00695DA3">
        <w:rPr>
          <w:sz w:val="24"/>
          <w:szCs w:val="24"/>
        </w:rPr>
        <w:t>biopsy tissue)</w:t>
      </w:r>
    </w:p>
    <w:p w14:paraId="476CEECC" w14:textId="16B4B5AB" w:rsidR="00D42D01" w:rsidRPr="00D42D01" w:rsidRDefault="00D42D01" w:rsidP="00363448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New treatment targets</w:t>
      </w:r>
    </w:p>
    <w:p w14:paraId="74C79681" w14:textId="77777777" w:rsidR="00D42D01" w:rsidRDefault="00D42D01" w:rsidP="00D42D01">
      <w:pPr>
        <w:rPr>
          <w:b/>
          <w:bCs/>
          <w:sz w:val="24"/>
          <w:szCs w:val="24"/>
        </w:rPr>
      </w:pPr>
    </w:p>
    <w:p w14:paraId="7DE0F1CD" w14:textId="3CBCA304" w:rsidR="008B5F2F" w:rsidRDefault="008B5F2F" w:rsidP="00D42D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Infrared </w:t>
      </w:r>
      <w:proofErr w:type="spellStart"/>
      <w:r>
        <w:rPr>
          <w:b/>
          <w:bCs/>
          <w:sz w:val="24"/>
          <w:szCs w:val="24"/>
        </w:rPr>
        <w:t>Microspectroscopy</w:t>
      </w:r>
      <w:proofErr w:type="spellEnd"/>
    </w:p>
    <w:p w14:paraId="3F9A5543" w14:textId="77777777" w:rsidR="0011395A" w:rsidRPr="0011395A" w:rsidRDefault="0073164C" w:rsidP="008B5F2F">
      <w:pPr>
        <w:pStyle w:val="ListParagraph"/>
        <w:numPr>
          <w:ilvl w:val="0"/>
          <w:numId w:val="4"/>
        </w:numPr>
        <w:rPr>
          <w:rStyle w:val="apple-converted-space"/>
          <w:sz w:val="24"/>
          <w:szCs w:val="24"/>
        </w:rPr>
      </w:pPr>
      <w:r w:rsidRPr="009014B7">
        <w:rPr>
          <w:rStyle w:val="s4"/>
          <w:rFonts w:eastAsia="Times New Roman"/>
          <w:color w:val="000000"/>
          <w:sz w:val="24"/>
          <w:szCs w:val="24"/>
        </w:rPr>
        <w:t>Fourier-transform infrared (FTIR)</w:t>
      </w:r>
      <w:r w:rsidRPr="009014B7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Pr="009014B7">
        <w:rPr>
          <w:rStyle w:val="s4"/>
          <w:rFonts w:eastAsia="Times New Roman"/>
          <w:color w:val="000000"/>
          <w:sz w:val="24"/>
          <w:szCs w:val="24"/>
        </w:rPr>
        <w:t>microscopy is a well-established technique that has been utilised in a range</w:t>
      </w:r>
      <w:r w:rsidRPr="009014B7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Pr="009014B7">
        <w:rPr>
          <w:rStyle w:val="s4"/>
          <w:rFonts w:eastAsia="Times New Roman"/>
          <w:color w:val="000000"/>
          <w:sz w:val="24"/>
          <w:szCs w:val="24"/>
        </w:rPr>
        <w:t>of biomedical applications in recent years</w:t>
      </w:r>
      <w:r w:rsidR="003404EB">
        <w:rPr>
          <w:rStyle w:val="s4"/>
          <w:rFonts w:eastAsia="Times New Roman"/>
          <w:color w:val="000000"/>
          <w:sz w:val="24"/>
          <w:szCs w:val="24"/>
          <w:vertAlign w:val="superscript"/>
        </w:rPr>
        <w:t>3</w:t>
      </w:r>
      <w:r w:rsidRPr="009014B7">
        <w:rPr>
          <w:rStyle w:val="apple-converted-space"/>
          <w:rFonts w:eastAsia="Times New Roman"/>
          <w:color w:val="000000"/>
          <w:sz w:val="24"/>
          <w:szCs w:val="24"/>
        </w:rPr>
        <w:t> </w:t>
      </w:r>
    </w:p>
    <w:p w14:paraId="61FBE5E6" w14:textId="77777777" w:rsidR="00154DFD" w:rsidRPr="00154DFD" w:rsidRDefault="0073164C" w:rsidP="008B5F2F">
      <w:pPr>
        <w:pStyle w:val="ListParagraph"/>
        <w:numPr>
          <w:ilvl w:val="0"/>
          <w:numId w:val="4"/>
        </w:numPr>
        <w:rPr>
          <w:rStyle w:val="apple-converted-space"/>
          <w:sz w:val="24"/>
          <w:szCs w:val="24"/>
        </w:rPr>
      </w:pPr>
      <w:r w:rsidRPr="009014B7">
        <w:rPr>
          <w:rStyle w:val="s4"/>
          <w:rFonts w:eastAsia="Times New Roman"/>
          <w:color w:val="000000"/>
          <w:sz w:val="24"/>
          <w:szCs w:val="24"/>
        </w:rPr>
        <w:t>FTIR microscopy allows imaging of</w:t>
      </w:r>
      <w:r w:rsidRPr="009014B7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Pr="009014B7">
        <w:rPr>
          <w:rStyle w:val="s4"/>
          <w:rFonts w:eastAsia="Times New Roman"/>
          <w:color w:val="000000"/>
          <w:sz w:val="24"/>
          <w:szCs w:val="24"/>
        </w:rPr>
        <w:t>sample specimens at thousands of infra-red wavelengths simultaneously.</w:t>
      </w:r>
    </w:p>
    <w:p w14:paraId="0BF77CB9" w14:textId="77777777" w:rsidR="00031097" w:rsidRPr="00031097" w:rsidRDefault="00486328" w:rsidP="008B5F2F">
      <w:pPr>
        <w:pStyle w:val="ListParagraph"/>
        <w:numPr>
          <w:ilvl w:val="0"/>
          <w:numId w:val="4"/>
        </w:numPr>
        <w:rPr>
          <w:rStyle w:val="s4"/>
          <w:sz w:val="24"/>
          <w:szCs w:val="24"/>
        </w:rPr>
      </w:pPr>
      <w:r>
        <w:rPr>
          <w:rStyle w:val="s4"/>
          <w:rFonts w:eastAsia="Times New Roman"/>
          <w:color w:val="000000"/>
          <w:sz w:val="24"/>
          <w:szCs w:val="24"/>
        </w:rPr>
        <w:t>B</w:t>
      </w:r>
      <w:r w:rsidR="0073164C" w:rsidRPr="009014B7">
        <w:rPr>
          <w:rStyle w:val="s4"/>
          <w:rFonts w:eastAsia="Times New Roman"/>
          <w:color w:val="000000"/>
          <w:sz w:val="24"/>
          <w:szCs w:val="24"/>
        </w:rPr>
        <w:t>iochemical compounds typically</w:t>
      </w:r>
      <w:r>
        <w:rPr>
          <w:rStyle w:val="s4"/>
          <w:rFonts w:eastAsia="Times New Roman"/>
          <w:color w:val="000000"/>
          <w:sz w:val="24"/>
          <w:szCs w:val="24"/>
        </w:rPr>
        <w:t xml:space="preserve"> vibrate</w:t>
      </w:r>
      <w:r w:rsidR="00503061">
        <w:rPr>
          <w:rStyle w:val="s4"/>
          <w:rFonts w:eastAsia="Times New Roman"/>
          <w:color w:val="000000"/>
          <w:sz w:val="24"/>
          <w:szCs w:val="24"/>
        </w:rPr>
        <w:t xml:space="preserve"> at characteristic wavelengths</w:t>
      </w:r>
      <w:r w:rsidR="0073164C" w:rsidRPr="009014B7">
        <w:rPr>
          <w:rStyle w:val="s4"/>
          <w:rFonts w:eastAsia="Times New Roman"/>
          <w:color w:val="000000"/>
          <w:sz w:val="24"/>
          <w:szCs w:val="24"/>
        </w:rPr>
        <w:t xml:space="preserve"> in a region known as the fingerprint region (1000</w:t>
      </w:r>
      <w:r w:rsidR="0073164C" w:rsidRPr="009014B7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73164C" w:rsidRPr="009014B7">
        <w:rPr>
          <w:rStyle w:val="s4"/>
          <w:rFonts w:eastAsia="Times New Roman"/>
          <w:color w:val="000000"/>
          <w:sz w:val="24"/>
          <w:szCs w:val="24"/>
        </w:rPr>
        <w:t>cm</w:t>
      </w:r>
      <w:r w:rsidR="0073164C" w:rsidRPr="009014B7">
        <w:rPr>
          <w:rStyle w:val="s5"/>
          <w:rFonts w:eastAsia="Times New Roman"/>
          <w:color w:val="000000"/>
          <w:sz w:val="24"/>
          <w:szCs w:val="24"/>
          <w:vertAlign w:val="superscript"/>
        </w:rPr>
        <w:t>−1</w:t>
      </w:r>
      <w:r w:rsidR="0073164C" w:rsidRPr="009014B7">
        <w:rPr>
          <w:rStyle w:val="s4"/>
          <w:rFonts w:eastAsia="Times New Roman"/>
          <w:color w:val="000000"/>
          <w:sz w:val="24"/>
          <w:szCs w:val="24"/>
        </w:rPr>
        <w:t>-1800</w:t>
      </w:r>
      <w:r w:rsidR="0073164C" w:rsidRPr="009014B7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73164C" w:rsidRPr="009014B7">
        <w:rPr>
          <w:rStyle w:val="s4"/>
          <w:rFonts w:eastAsia="Times New Roman"/>
          <w:color w:val="000000"/>
          <w:sz w:val="24"/>
          <w:szCs w:val="24"/>
        </w:rPr>
        <w:t>cm</w:t>
      </w:r>
      <w:r w:rsidR="0073164C" w:rsidRPr="009014B7">
        <w:rPr>
          <w:rStyle w:val="s5"/>
          <w:rFonts w:eastAsia="Times New Roman"/>
          <w:color w:val="000000"/>
          <w:sz w:val="24"/>
          <w:szCs w:val="24"/>
          <w:vertAlign w:val="superscript"/>
        </w:rPr>
        <w:t>−1</w:t>
      </w:r>
      <w:r w:rsidR="0073164C" w:rsidRPr="009014B7">
        <w:rPr>
          <w:rStyle w:val="s4"/>
          <w:rFonts w:eastAsia="Times New Roman"/>
          <w:color w:val="000000"/>
          <w:sz w:val="24"/>
          <w:szCs w:val="24"/>
        </w:rPr>
        <w:t xml:space="preserve">) </w:t>
      </w:r>
    </w:p>
    <w:p w14:paraId="00E16104" w14:textId="4586D255" w:rsidR="008B5F2F" w:rsidRPr="00486059" w:rsidRDefault="00031097" w:rsidP="008B5F2F">
      <w:pPr>
        <w:pStyle w:val="ListParagraph"/>
        <w:numPr>
          <w:ilvl w:val="0"/>
          <w:numId w:val="4"/>
        </w:numPr>
        <w:rPr>
          <w:rStyle w:val="s4"/>
          <w:sz w:val="24"/>
          <w:szCs w:val="24"/>
        </w:rPr>
      </w:pPr>
      <w:r>
        <w:rPr>
          <w:rStyle w:val="s4"/>
          <w:rFonts w:eastAsia="Times New Roman"/>
          <w:color w:val="000000"/>
          <w:sz w:val="24"/>
          <w:szCs w:val="24"/>
        </w:rPr>
        <w:t>D</w:t>
      </w:r>
      <w:r w:rsidR="0073164C" w:rsidRPr="009014B7">
        <w:rPr>
          <w:rStyle w:val="s4"/>
          <w:rFonts w:eastAsia="Times New Roman"/>
          <w:color w:val="000000"/>
          <w:sz w:val="24"/>
          <w:szCs w:val="24"/>
        </w:rPr>
        <w:t>ifferences in these absorption bands contain information that can be utilised to discriminate between samples of interest</w:t>
      </w:r>
      <w:r w:rsidR="002352DF">
        <w:rPr>
          <w:rStyle w:val="s4"/>
          <w:rFonts w:eastAsia="Times New Roman"/>
          <w:color w:val="000000"/>
          <w:sz w:val="24"/>
          <w:szCs w:val="24"/>
        </w:rPr>
        <w:t xml:space="preserve"> and possibly identify new therapeutic targets.</w:t>
      </w:r>
    </w:p>
    <w:p w14:paraId="603FF000" w14:textId="6CC699B9" w:rsidR="00486059" w:rsidRDefault="00486059" w:rsidP="00486059">
      <w:pPr>
        <w:rPr>
          <w:sz w:val="24"/>
          <w:szCs w:val="24"/>
        </w:rPr>
      </w:pPr>
    </w:p>
    <w:p w14:paraId="1A0430D1" w14:textId="11965588" w:rsidR="00486059" w:rsidRDefault="00486059" w:rsidP="004860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6641DB">
        <w:rPr>
          <w:b/>
          <w:bCs/>
          <w:sz w:val="28"/>
          <w:szCs w:val="28"/>
        </w:rPr>
        <w:t>aterials and m</w:t>
      </w:r>
      <w:r>
        <w:rPr>
          <w:b/>
          <w:bCs/>
          <w:sz w:val="28"/>
          <w:szCs w:val="28"/>
        </w:rPr>
        <w:t>ethods</w:t>
      </w:r>
    </w:p>
    <w:p w14:paraId="2AE57629" w14:textId="4F5C040B" w:rsidR="00486059" w:rsidRDefault="00486059" w:rsidP="00486059">
      <w:pPr>
        <w:rPr>
          <w:sz w:val="28"/>
          <w:szCs w:val="28"/>
        </w:rPr>
      </w:pPr>
    </w:p>
    <w:p w14:paraId="1813F855" w14:textId="15764452" w:rsidR="006641DB" w:rsidRDefault="00F21F49" w:rsidP="004860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Biologi</w:t>
      </w:r>
      <w:r w:rsidR="001826A1">
        <w:rPr>
          <w:b/>
          <w:bCs/>
          <w:sz w:val="24"/>
          <w:szCs w:val="24"/>
        </w:rPr>
        <w:t>cal samples &amp; data collection</w:t>
      </w:r>
    </w:p>
    <w:p w14:paraId="3C3C3E35" w14:textId="3B15521C" w:rsidR="00F21F49" w:rsidRPr="000115C9" w:rsidRDefault="00993D2D" w:rsidP="00F21F4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1mm diameter round punches of tissue from </w:t>
      </w:r>
      <w:r w:rsidR="002E3929">
        <w:rPr>
          <w:sz w:val="24"/>
          <w:szCs w:val="24"/>
        </w:rPr>
        <w:t>p</w:t>
      </w:r>
      <w:r w:rsidR="00B510CE">
        <w:rPr>
          <w:sz w:val="24"/>
          <w:szCs w:val="24"/>
        </w:rPr>
        <w:t xml:space="preserve">rimary </w:t>
      </w:r>
      <w:r w:rsidR="002E3929">
        <w:rPr>
          <w:sz w:val="24"/>
          <w:szCs w:val="24"/>
        </w:rPr>
        <w:t xml:space="preserve">OSCC </w:t>
      </w:r>
      <w:r w:rsidR="00B510CE">
        <w:rPr>
          <w:sz w:val="24"/>
          <w:szCs w:val="24"/>
        </w:rPr>
        <w:t>tumour</w:t>
      </w:r>
      <w:r w:rsidR="002E3929">
        <w:rPr>
          <w:sz w:val="24"/>
          <w:szCs w:val="24"/>
        </w:rPr>
        <w:t>s</w:t>
      </w:r>
      <w:r w:rsidR="00747929">
        <w:rPr>
          <w:sz w:val="24"/>
          <w:szCs w:val="24"/>
        </w:rPr>
        <w:t xml:space="preserve"> </w:t>
      </w:r>
      <w:r w:rsidR="00270396">
        <w:rPr>
          <w:sz w:val="24"/>
          <w:szCs w:val="24"/>
        </w:rPr>
        <w:t xml:space="preserve">were </w:t>
      </w:r>
      <w:r w:rsidR="00747929">
        <w:rPr>
          <w:sz w:val="24"/>
          <w:szCs w:val="24"/>
        </w:rPr>
        <w:t xml:space="preserve">mounted </w:t>
      </w:r>
      <w:r w:rsidR="00F036C1">
        <w:rPr>
          <w:sz w:val="24"/>
          <w:szCs w:val="24"/>
        </w:rPr>
        <w:t>in</w:t>
      </w:r>
      <w:r w:rsidR="00DF6A4E">
        <w:rPr>
          <w:sz w:val="24"/>
          <w:szCs w:val="24"/>
        </w:rPr>
        <w:t xml:space="preserve"> an </w:t>
      </w:r>
      <w:r w:rsidR="00523288">
        <w:rPr>
          <w:sz w:val="24"/>
          <w:szCs w:val="24"/>
        </w:rPr>
        <w:t>grid in</w:t>
      </w:r>
      <w:r w:rsidR="00F036C1">
        <w:rPr>
          <w:sz w:val="24"/>
          <w:szCs w:val="24"/>
        </w:rPr>
        <w:t xml:space="preserve"> paraffin wax</w:t>
      </w:r>
      <w:r w:rsidR="00523288">
        <w:rPr>
          <w:sz w:val="24"/>
          <w:szCs w:val="24"/>
        </w:rPr>
        <w:t xml:space="preserve"> (a tissue microarray</w:t>
      </w:r>
      <w:r w:rsidR="00523288">
        <w:rPr>
          <w:sz w:val="24"/>
          <w:szCs w:val="24"/>
          <w:vertAlign w:val="superscript"/>
        </w:rPr>
        <w:t>4</w:t>
      </w:r>
      <w:r w:rsidR="00523288">
        <w:rPr>
          <w:sz w:val="24"/>
          <w:szCs w:val="24"/>
        </w:rPr>
        <w:t>)</w:t>
      </w:r>
      <w:r w:rsidR="00F036C1">
        <w:rPr>
          <w:sz w:val="24"/>
          <w:szCs w:val="24"/>
        </w:rPr>
        <w:t xml:space="preserve"> to enable s</w:t>
      </w:r>
      <w:r w:rsidR="00C93000">
        <w:rPr>
          <w:sz w:val="24"/>
          <w:szCs w:val="24"/>
        </w:rPr>
        <w:t xml:space="preserve">ectioning at </w:t>
      </w:r>
      <w:r w:rsidR="00F036C1">
        <w:rPr>
          <w:sz w:val="24"/>
          <w:szCs w:val="24"/>
        </w:rPr>
        <w:t xml:space="preserve">5 </w:t>
      </w:r>
      <w:proofErr w:type="spellStart"/>
      <w:r w:rsidR="00F036C1">
        <w:rPr>
          <w:sz w:val="24"/>
          <w:szCs w:val="24"/>
        </w:rPr>
        <w:t>micrometre</w:t>
      </w:r>
      <w:proofErr w:type="spellEnd"/>
      <w:r w:rsidR="00270396">
        <w:rPr>
          <w:sz w:val="24"/>
          <w:szCs w:val="24"/>
        </w:rPr>
        <w:t xml:space="preserve"> thickness</w:t>
      </w:r>
    </w:p>
    <w:p w14:paraId="0FEA32C8" w14:textId="708153B4" w:rsidR="00747929" w:rsidRPr="009D5A42" w:rsidRDefault="009D5A42" w:rsidP="00F21F4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Adjacent sections (</w:t>
      </w:r>
      <w:r w:rsidR="00625989">
        <w:rPr>
          <w:sz w:val="24"/>
          <w:szCs w:val="24"/>
        </w:rPr>
        <w:t>5</w:t>
      </w:r>
      <w:r w:rsidR="00BE28B2">
        <w:rPr>
          <w:sz w:val="24"/>
          <w:szCs w:val="24"/>
        </w:rPr>
        <w:t xml:space="preserve"> </w:t>
      </w:r>
      <w:r w:rsidR="008C7AF7">
        <w:rPr>
          <w:sz w:val="24"/>
          <w:szCs w:val="24"/>
        </w:rPr>
        <w:t xml:space="preserve">um </w:t>
      </w:r>
      <w:r>
        <w:rPr>
          <w:sz w:val="24"/>
          <w:szCs w:val="24"/>
        </w:rPr>
        <w:t xml:space="preserve">slices) </w:t>
      </w:r>
      <w:r w:rsidR="00270396">
        <w:rPr>
          <w:sz w:val="24"/>
          <w:szCs w:val="24"/>
        </w:rPr>
        <w:t xml:space="preserve">were </w:t>
      </w:r>
      <w:r>
        <w:rPr>
          <w:sz w:val="24"/>
          <w:szCs w:val="24"/>
        </w:rPr>
        <w:t>mounted on glass slides and calcium fluoride disks</w:t>
      </w:r>
      <w:r w:rsidR="00DF6A4E">
        <w:rPr>
          <w:sz w:val="24"/>
          <w:szCs w:val="24"/>
        </w:rPr>
        <w:t>.</w:t>
      </w:r>
    </w:p>
    <w:p w14:paraId="273B2EE4" w14:textId="6FB2E998" w:rsidR="009D5A42" w:rsidRPr="00F444AF" w:rsidRDefault="00270396" w:rsidP="00F21F4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The g</w:t>
      </w:r>
      <w:r w:rsidR="00407422">
        <w:rPr>
          <w:sz w:val="24"/>
          <w:szCs w:val="24"/>
        </w:rPr>
        <w:t>la</w:t>
      </w:r>
      <w:r w:rsidR="00A415B8">
        <w:rPr>
          <w:sz w:val="24"/>
          <w:szCs w:val="24"/>
        </w:rPr>
        <w:t xml:space="preserve">ss-mounted section </w:t>
      </w:r>
      <w:r w:rsidR="00ED5FB2">
        <w:rPr>
          <w:sz w:val="24"/>
          <w:szCs w:val="24"/>
        </w:rPr>
        <w:t xml:space="preserve">was stained with </w:t>
      </w:r>
      <w:proofErr w:type="spellStart"/>
      <w:r w:rsidR="00ED5FB2">
        <w:rPr>
          <w:sz w:val="24"/>
          <w:szCs w:val="24"/>
        </w:rPr>
        <w:t>haematoxylin</w:t>
      </w:r>
      <w:proofErr w:type="spellEnd"/>
      <w:r w:rsidR="00ED5FB2">
        <w:rPr>
          <w:sz w:val="24"/>
          <w:szCs w:val="24"/>
        </w:rPr>
        <w:t xml:space="preserve"> and eosin (H&amp;E) to visualise </w:t>
      </w:r>
      <w:r w:rsidR="00F444AF">
        <w:rPr>
          <w:sz w:val="24"/>
          <w:szCs w:val="24"/>
        </w:rPr>
        <w:t>cell structures on microscopy</w:t>
      </w:r>
    </w:p>
    <w:p w14:paraId="6D8EB267" w14:textId="2767B348" w:rsidR="00F444AF" w:rsidRPr="000115C9" w:rsidRDefault="00F444AF" w:rsidP="00F21F4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Areas of the core containing tumour</w:t>
      </w:r>
      <w:r w:rsidR="00591F48">
        <w:rPr>
          <w:sz w:val="24"/>
          <w:szCs w:val="24"/>
        </w:rPr>
        <w:t xml:space="preserve"> cells</w:t>
      </w:r>
      <w:r w:rsidR="007B19DA">
        <w:rPr>
          <w:sz w:val="24"/>
          <w:szCs w:val="24"/>
        </w:rPr>
        <w:t xml:space="preserve"> or </w:t>
      </w:r>
      <w:r w:rsidR="00591F48">
        <w:rPr>
          <w:sz w:val="24"/>
          <w:szCs w:val="24"/>
        </w:rPr>
        <w:t xml:space="preserve">underlying </w:t>
      </w:r>
      <w:proofErr w:type="spellStart"/>
      <w:r w:rsidR="00591F48">
        <w:rPr>
          <w:sz w:val="24"/>
          <w:szCs w:val="24"/>
        </w:rPr>
        <w:t>stroma</w:t>
      </w:r>
      <w:proofErr w:type="spellEnd"/>
      <w:r w:rsidR="00591F48">
        <w:rPr>
          <w:sz w:val="24"/>
          <w:szCs w:val="24"/>
        </w:rPr>
        <w:t xml:space="preserve"> containing fibroblasts</w:t>
      </w:r>
      <w:r w:rsidR="007B19DA">
        <w:rPr>
          <w:sz w:val="24"/>
          <w:szCs w:val="24"/>
        </w:rPr>
        <w:t xml:space="preserve"> were marked on a digital version of the H&amp;E stained section</w:t>
      </w:r>
      <w:r w:rsidR="00C80846">
        <w:rPr>
          <w:sz w:val="24"/>
          <w:szCs w:val="24"/>
        </w:rPr>
        <w:t xml:space="preserve"> by an oral pathologist.</w:t>
      </w:r>
    </w:p>
    <w:p w14:paraId="1B2A91F0" w14:textId="46DB236E" w:rsidR="000115C9" w:rsidRPr="007B5B3D" w:rsidRDefault="000115C9" w:rsidP="00F21F49">
      <w:pPr>
        <w:pStyle w:val="ListParagraph"/>
        <w:numPr>
          <w:ilvl w:val="0"/>
          <w:numId w:val="5"/>
        </w:numPr>
        <w:rPr>
          <w:rStyle w:val="apple-converted-space"/>
          <w:sz w:val="24"/>
          <w:szCs w:val="24"/>
        </w:rPr>
      </w:pPr>
      <w:r>
        <w:rPr>
          <w:sz w:val="24"/>
          <w:szCs w:val="24"/>
        </w:rPr>
        <w:t xml:space="preserve">IR spectra were collected </w:t>
      </w:r>
      <w:r w:rsidR="00C377DF">
        <w:rPr>
          <w:sz w:val="24"/>
          <w:szCs w:val="24"/>
        </w:rPr>
        <w:t xml:space="preserve">using </w:t>
      </w:r>
      <w:r w:rsidR="00605AB0">
        <w:rPr>
          <w:sz w:val="24"/>
          <w:szCs w:val="24"/>
        </w:rPr>
        <w:t xml:space="preserve">a 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 xml:space="preserve">Varian Cary 670-FTIR spectrometer with an attached Varian Cary 620-FTIR microscope </w:t>
      </w:r>
      <w:r w:rsidR="00605AB0">
        <w:rPr>
          <w:rStyle w:val="s4"/>
          <w:rFonts w:eastAsia="Times New Roman"/>
          <w:color w:val="000000"/>
          <w:sz w:val="24"/>
          <w:szCs w:val="24"/>
        </w:rPr>
        <w:t xml:space="preserve">and 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a liquid nitrogen-cooled 128×128 pixel MCT focal plane array with an effective field of view for each pixel of 5.5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10"/>
          <w:rFonts w:eastAsia="Times New Roman"/>
          <w:color w:val="000000"/>
          <w:sz w:val="24"/>
          <w:szCs w:val="24"/>
        </w:rPr>
        <w:t>μ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m. Images were acquired at a resolution of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6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cm</w:t>
      </w:r>
      <w:r w:rsidR="001B29A7" w:rsidRPr="00605AB0">
        <w:rPr>
          <w:rStyle w:val="s5"/>
          <w:rFonts w:eastAsia="Times New Roman"/>
          <w:color w:val="000000"/>
          <w:sz w:val="24"/>
          <w:szCs w:val="24"/>
          <w:vertAlign w:val="superscript"/>
        </w:rPr>
        <w:t>−1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over a spectral range of 990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cm</w:t>
      </w:r>
      <w:r w:rsidR="001B29A7" w:rsidRPr="00605AB0">
        <w:rPr>
          <w:rStyle w:val="s5"/>
          <w:rFonts w:eastAsia="Times New Roman"/>
          <w:color w:val="000000"/>
          <w:sz w:val="24"/>
          <w:szCs w:val="24"/>
          <w:vertAlign w:val="superscript"/>
        </w:rPr>
        <w:t>−1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to 3800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cm</w:t>
      </w:r>
      <w:r w:rsidR="001B29A7" w:rsidRPr="00605AB0">
        <w:rPr>
          <w:rStyle w:val="s5"/>
          <w:rFonts w:eastAsia="Times New Roman"/>
          <w:color w:val="000000"/>
          <w:sz w:val="24"/>
          <w:szCs w:val="24"/>
          <w:vertAlign w:val="superscript"/>
        </w:rPr>
        <w:t>−1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using a co-addition of 128 scans. Background scans were acquired using a blank CaF</w:t>
      </w:r>
      <w:r w:rsidR="001B29A7" w:rsidRPr="00605AB0">
        <w:rPr>
          <w:rStyle w:val="s11"/>
          <w:rFonts w:eastAsia="Times New Roman"/>
          <w:color w:val="000000"/>
          <w:sz w:val="24"/>
          <w:szCs w:val="24"/>
          <w:vertAlign w:val="subscript"/>
        </w:rPr>
        <w:t>2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  <w:r w:rsidR="001B29A7" w:rsidRPr="00605AB0">
        <w:rPr>
          <w:rStyle w:val="s4"/>
          <w:rFonts w:eastAsia="Times New Roman"/>
          <w:color w:val="000000"/>
          <w:sz w:val="24"/>
          <w:szCs w:val="24"/>
        </w:rPr>
        <w:t>disk.</w:t>
      </w:r>
      <w:r w:rsidR="001B29A7" w:rsidRPr="00605AB0">
        <w:rPr>
          <w:rStyle w:val="apple-converted-space"/>
          <w:rFonts w:eastAsia="Times New Roman"/>
          <w:color w:val="000000"/>
          <w:sz w:val="24"/>
          <w:szCs w:val="24"/>
        </w:rPr>
        <w:t> </w:t>
      </w:r>
    </w:p>
    <w:p w14:paraId="5FEB0B3A" w14:textId="77777777" w:rsidR="007B5B3D" w:rsidRPr="007B5B3D" w:rsidRDefault="007B5B3D" w:rsidP="007B5B3D">
      <w:pPr>
        <w:ind w:left="360"/>
        <w:rPr>
          <w:rStyle w:val="apple-converted-space"/>
          <w:sz w:val="24"/>
          <w:szCs w:val="24"/>
        </w:rPr>
      </w:pPr>
    </w:p>
    <w:p w14:paraId="14104FDE" w14:textId="3B159AA9" w:rsidR="00BF5BB0" w:rsidRPr="00BF5BB0" w:rsidRDefault="007B5B3D" w:rsidP="00BF5B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Selection of data for analysis</w:t>
      </w:r>
    </w:p>
    <w:p w14:paraId="6367EC1D" w14:textId="39BBD197" w:rsidR="00354B8F" w:rsidRPr="00C80846" w:rsidRDefault="00407422" w:rsidP="00354B8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7F17A6">
        <w:rPr>
          <w:sz w:val="24"/>
          <w:szCs w:val="24"/>
        </w:rPr>
        <w:t xml:space="preserve"> </w:t>
      </w:r>
      <w:r w:rsidR="00354B8F">
        <w:rPr>
          <w:sz w:val="24"/>
          <w:szCs w:val="24"/>
        </w:rPr>
        <w:t>core from a tumour with ENE where the patient died from OSCC within 12 months of diagnosis</w:t>
      </w:r>
      <w:r w:rsidR="007B5B3D">
        <w:rPr>
          <w:sz w:val="24"/>
          <w:szCs w:val="24"/>
        </w:rPr>
        <w:t xml:space="preserve"> and </w:t>
      </w:r>
      <w:r w:rsidR="00354B8F">
        <w:rPr>
          <w:sz w:val="24"/>
          <w:szCs w:val="24"/>
        </w:rPr>
        <w:t>1 core from a tumour with ENE where the patient survived more than 24 months</w:t>
      </w:r>
      <w:r w:rsidR="00091BFA">
        <w:rPr>
          <w:sz w:val="24"/>
          <w:szCs w:val="24"/>
        </w:rPr>
        <w:t xml:space="preserve"> were identified from clinical notes.</w:t>
      </w:r>
    </w:p>
    <w:p w14:paraId="52301890" w14:textId="1045AB88" w:rsidR="00D87B4A" w:rsidRPr="00D87B4A" w:rsidRDefault="00C80846" w:rsidP="00D87B4A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D71C5">
        <w:rPr>
          <w:sz w:val="24"/>
          <w:szCs w:val="24"/>
        </w:rPr>
        <w:t xml:space="preserve">marked </w:t>
      </w:r>
      <w:r w:rsidR="0095125B">
        <w:rPr>
          <w:sz w:val="24"/>
          <w:szCs w:val="24"/>
        </w:rPr>
        <w:t xml:space="preserve">H&amp;E image </w:t>
      </w:r>
      <w:r w:rsidR="00091BFA">
        <w:rPr>
          <w:sz w:val="24"/>
          <w:szCs w:val="24"/>
        </w:rPr>
        <w:t xml:space="preserve">from each core </w:t>
      </w:r>
      <w:r w:rsidR="0095125B">
        <w:rPr>
          <w:sz w:val="24"/>
          <w:szCs w:val="24"/>
        </w:rPr>
        <w:t xml:space="preserve">was </w:t>
      </w:r>
      <w:r w:rsidR="003C2BAE">
        <w:rPr>
          <w:sz w:val="24"/>
          <w:szCs w:val="24"/>
        </w:rPr>
        <w:t>co</w:t>
      </w:r>
      <w:r w:rsidR="0095125B">
        <w:rPr>
          <w:sz w:val="24"/>
          <w:szCs w:val="24"/>
        </w:rPr>
        <w:t xml:space="preserve">-registered with the </w:t>
      </w:r>
      <w:r w:rsidR="003B471A">
        <w:rPr>
          <w:sz w:val="24"/>
          <w:szCs w:val="24"/>
        </w:rPr>
        <w:t xml:space="preserve">equivalent </w:t>
      </w:r>
      <w:r w:rsidR="0095125B">
        <w:rPr>
          <w:sz w:val="24"/>
          <w:szCs w:val="24"/>
        </w:rPr>
        <w:t>IR image at 1650</w:t>
      </w:r>
      <w:r w:rsidR="003816AD">
        <w:rPr>
          <w:sz w:val="24"/>
          <w:szCs w:val="24"/>
        </w:rPr>
        <w:t xml:space="preserve"> cm</w:t>
      </w:r>
      <w:r w:rsidR="003816AD">
        <w:rPr>
          <w:sz w:val="24"/>
          <w:szCs w:val="24"/>
          <w:vertAlign w:val="superscript"/>
        </w:rPr>
        <w:t xml:space="preserve">-1 </w:t>
      </w:r>
      <w:r w:rsidR="003C2BAE">
        <w:rPr>
          <w:sz w:val="24"/>
          <w:szCs w:val="24"/>
        </w:rPr>
        <w:t xml:space="preserve">(amide I peak) and the data from </w:t>
      </w:r>
      <w:r w:rsidR="003E7DFA">
        <w:rPr>
          <w:sz w:val="24"/>
          <w:szCs w:val="24"/>
        </w:rPr>
        <w:t xml:space="preserve">tumour </w:t>
      </w:r>
      <w:r w:rsidR="00D87B4A">
        <w:rPr>
          <w:sz w:val="24"/>
          <w:szCs w:val="24"/>
        </w:rPr>
        <w:t>areas extracted for analysis.</w:t>
      </w:r>
    </w:p>
    <w:p w14:paraId="43E2807C" w14:textId="067437A7" w:rsidR="00354B8F" w:rsidRDefault="00354B8F" w:rsidP="00354B8F">
      <w:pPr>
        <w:ind w:left="360"/>
        <w:rPr>
          <w:b/>
          <w:bCs/>
          <w:sz w:val="24"/>
          <w:szCs w:val="24"/>
        </w:rPr>
      </w:pPr>
    </w:p>
    <w:p w14:paraId="3387B60B" w14:textId="3323A122" w:rsidR="002C6E55" w:rsidRDefault="00411AAB" w:rsidP="00F5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Aims</w:t>
      </w:r>
    </w:p>
    <w:p w14:paraId="78E960BA" w14:textId="1E0CF43E" w:rsidR="00411AAB" w:rsidRDefault="00411AAB" w:rsidP="00F511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511D2">
        <w:rPr>
          <w:sz w:val="24"/>
          <w:szCs w:val="24"/>
        </w:rPr>
        <w:t xml:space="preserve">Identification of key </w:t>
      </w:r>
      <w:r w:rsidR="00CE6504">
        <w:rPr>
          <w:sz w:val="24"/>
          <w:szCs w:val="24"/>
        </w:rPr>
        <w:t>metrics (</w:t>
      </w:r>
      <w:r w:rsidR="00006481">
        <w:rPr>
          <w:sz w:val="24"/>
          <w:szCs w:val="24"/>
        </w:rPr>
        <w:t xml:space="preserve">IR </w:t>
      </w:r>
      <w:r w:rsidRPr="00F511D2">
        <w:rPr>
          <w:sz w:val="24"/>
          <w:szCs w:val="24"/>
        </w:rPr>
        <w:t>wavelength</w:t>
      </w:r>
      <w:r w:rsidR="00CE6504">
        <w:rPr>
          <w:sz w:val="24"/>
          <w:szCs w:val="24"/>
        </w:rPr>
        <w:t xml:space="preserve"> ratios)</w:t>
      </w:r>
      <w:r w:rsidRPr="00F511D2">
        <w:rPr>
          <w:sz w:val="24"/>
          <w:szCs w:val="24"/>
        </w:rPr>
        <w:t xml:space="preserve"> </w:t>
      </w:r>
      <w:r w:rsidR="009377FD" w:rsidRPr="00F511D2">
        <w:rPr>
          <w:sz w:val="24"/>
          <w:szCs w:val="24"/>
        </w:rPr>
        <w:t>associated with poor prognosis in OSCC</w:t>
      </w:r>
    </w:p>
    <w:p w14:paraId="5FB909F0" w14:textId="7422F25C" w:rsidR="00CE6504" w:rsidRPr="00F511D2" w:rsidRDefault="00006481" w:rsidP="00F511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Analysis of frequently occurring IR wavelengths</w:t>
      </w:r>
      <w:r w:rsidR="00951E0E">
        <w:rPr>
          <w:sz w:val="24"/>
          <w:szCs w:val="24"/>
        </w:rPr>
        <w:t xml:space="preserve"> in these metrics and identification of biomolecules associated with poor prognosis</w:t>
      </w:r>
    </w:p>
    <w:p w14:paraId="0DAB1C57" w14:textId="786AF584" w:rsidR="007F4DC5" w:rsidRPr="009014B7" w:rsidRDefault="007F4DC5" w:rsidP="007F4DC5">
      <w:pPr>
        <w:rPr>
          <w:sz w:val="24"/>
          <w:szCs w:val="24"/>
        </w:rPr>
      </w:pPr>
    </w:p>
    <w:p w14:paraId="3A59C6D5" w14:textId="212DB937" w:rsidR="007F4DC5" w:rsidRDefault="007F4DC5" w:rsidP="007F4DC5">
      <w:pPr>
        <w:rPr>
          <w:sz w:val="24"/>
          <w:szCs w:val="24"/>
        </w:rPr>
      </w:pPr>
    </w:p>
    <w:p w14:paraId="722732AB" w14:textId="23226524" w:rsidR="007F4DC5" w:rsidRDefault="00CE6105" w:rsidP="007F4DC5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7" w:history="1">
        <w:r w:rsidR="000039E7" w:rsidRPr="00B074FC">
          <w:rPr>
            <w:rStyle w:val="Hyperlink"/>
            <w:sz w:val="24"/>
            <w:szCs w:val="24"/>
          </w:rPr>
          <w:t>https://www.cancerresearchuk.org/health-professional/cancer-statistics/statistics-by-cancer-type/head-and-neck-cancers</w:t>
        </w:r>
      </w:hyperlink>
    </w:p>
    <w:p w14:paraId="226F86BD" w14:textId="3AE97CF2" w:rsidR="000039E7" w:rsidRDefault="004853C0" w:rsidP="007F4D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RJ Shaw et al</w:t>
      </w:r>
      <w:r w:rsidR="00E212CD">
        <w:rPr>
          <w:sz w:val="24"/>
          <w:szCs w:val="24"/>
        </w:rPr>
        <w:t xml:space="preserve"> </w:t>
      </w:r>
      <w:proofErr w:type="spellStart"/>
      <w:r w:rsidR="002136DF">
        <w:rPr>
          <w:sz w:val="24"/>
          <w:szCs w:val="24"/>
        </w:rPr>
        <w:t>d</w:t>
      </w:r>
      <w:r w:rsidR="00377561">
        <w:rPr>
          <w:sz w:val="24"/>
          <w:szCs w:val="24"/>
        </w:rPr>
        <w:t>oi</w:t>
      </w:r>
      <w:proofErr w:type="spellEnd"/>
      <w:r w:rsidR="003B75E8">
        <w:rPr>
          <w:sz w:val="24"/>
          <w:szCs w:val="24"/>
        </w:rPr>
        <w:t xml:space="preserve">: </w:t>
      </w:r>
      <w:r w:rsidR="00377561">
        <w:rPr>
          <w:sz w:val="24"/>
          <w:szCs w:val="24"/>
        </w:rPr>
        <w:t>10.</w:t>
      </w:r>
      <w:r w:rsidR="00C37443">
        <w:rPr>
          <w:sz w:val="24"/>
          <w:szCs w:val="24"/>
        </w:rPr>
        <w:t>1002/</w:t>
      </w:r>
      <w:proofErr w:type="spellStart"/>
      <w:r w:rsidR="00C37443">
        <w:rPr>
          <w:sz w:val="24"/>
          <w:szCs w:val="24"/>
        </w:rPr>
        <w:t>hed</w:t>
      </w:r>
      <w:r w:rsidR="00463920">
        <w:rPr>
          <w:sz w:val="24"/>
          <w:szCs w:val="24"/>
        </w:rPr>
        <w:t>.21244</w:t>
      </w:r>
      <w:proofErr w:type="spellEnd"/>
      <w:r w:rsidR="002136DF">
        <w:rPr>
          <w:sz w:val="24"/>
          <w:szCs w:val="24"/>
        </w:rPr>
        <w:t xml:space="preserve"> </w:t>
      </w:r>
    </w:p>
    <w:p w14:paraId="50D89CF3" w14:textId="36A4F111" w:rsidR="007345C6" w:rsidRPr="00C70346" w:rsidRDefault="007345C6" w:rsidP="007F4D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 </w:t>
      </w:r>
      <w:proofErr w:type="spellStart"/>
      <w:r w:rsidR="00BA3004">
        <w:rPr>
          <w:sz w:val="24"/>
          <w:szCs w:val="24"/>
        </w:rPr>
        <w:t>Finlayson</w:t>
      </w:r>
      <w:proofErr w:type="spellEnd"/>
      <w:r w:rsidR="00BA3004">
        <w:rPr>
          <w:sz w:val="24"/>
          <w:szCs w:val="24"/>
        </w:rPr>
        <w:t xml:space="preserve"> et al </w:t>
      </w:r>
      <w:proofErr w:type="spellStart"/>
      <w:r w:rsidR="00C12B01" w:rsidRPr="0011395A">
        <w:rPr>
          <w:rFonts w:eastAsia="Times New Roman" w:cs="Segoe UI"/>
          <w:sz w:val="24"/>
          <w:szCs w:val="24"/>
          <w:shd w:val="clear" w:color="auto" w:fill="FFFFFF"/>
        </w:rPr>
        <w:t>doi</w:t>
      </w:r>
      <w:proofErr w:type="spellEnd"/>
      <w:r w:rsidR="00C12B01" w:rsidRPr="0011395A">
        <w:rPr>
          <w:rFonts w:eastAsia="Times New Roman" w:cs="Segoe UI"/>
          <w:sz w:val="24"/>
          <w:szCs w:val="24"/>
          <w:shd w:val="clear" w:color="auto" w:fill="FFFFFF"/>
        </w:rPr>
        <w:t>: 10.1021/</w:t>
      </w:r>
      <w:proofErr w:type="spellStart"/>
      <w:r w:rsidR="00C12B01" w:rsidRPr="0011395A">
        <w:rPr>
          <w:rFonts w:eastAsia="Times New Roman" w:cs="Segoe UI"/>
          <w:sz w:val="24"/>
          <w:szCs w:val="24"/>
          <w:shd w:val="clear" w:color="auto" w:fill="FFFFFF"/>
        </w:rPr>
        <w:t>acs.analchem.9b02280</w:t>
      </w:r>
      <w:proofErr w:type="spellEnd"/>
    </w:p>
    <w:p w14:paraId="70C0DCFC" w14:textId="1225588E" w:rsidR="00C70346" w:rsidRPr="007F4DC5" w:rsidRDefault="00B179A5" w:rsidP="007F4D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Koo</w:t>
      </w:r>
      <w:proofErr w:type="spellEnd"/>
      <w:r>
        <w:rPr>
          <w:sz w:val="24"/>
          <w:szCs w:val="24"/>
        </w:rPr>
        <w:t xml:space="preserve"> et </w:t>
      </w:r>
      <w:r w:rsidR="008C35F8">
        <w:rPr>
          <w:sz w:val="24"/>
          <w:szCs w:val="24"/>
        </w:rPr>
        <w:t xml:space="preserve">al </w:t>
      </w:r>
      <w:proofErr w:type="spellStart"/>
      <w:r w:rsidR="008C35F8">
        <w:rPr>
          <w:sz w:val="24"/>
          <w:szCs w:val="24"/>
        </w:rPr>
        <w:t>doi</w:t>
      </w:r>
      <w:proofErr w:type="spellEnd"/>
      <w:r w:rsidR="008C35F8" w:rsidRPr="00BD0BD5">
        <w:rPr>
          <w:sz w:val="24"/>
          <w:szCs w:val="24"/>
        </w:rPr>
        <w:t xml:space="preserve">: </w:t>
      </w:r>
      <w:r w:rsidR="00E21678" w:rsidRPr="00BD0BD5">
        <w:rPr>
          <w:rFonts w:eastAsia="Times New Roman" w:cs="Segoe UI"/>
          <w:sz w:val="24"/>
          <w:szCs w:val="24"/>
          <w:shd w:val="clear" w:color="auto" w:fill="FFFFFF"/>
        </w:rPr>
        <w:t>10.1007/978-1-4939-8935-5_27.</w:t>
      </w:r>
    </w:p>
    <w:sectPr w:rsidR="00C70346" w:rsidRPr="007F4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CBFC" w14:textId="77777777" w:rsidR="001463B9" w:rsidRDefault="001463B9" w:rsidP="001463B9">
      <w:r>
        <w:separator/>
      </w:r>
    </w:p>
  </w:endnote>
  <w:endnote w:type="continuationSeparator" w:id="0">
    <w:p w14:paraId="5946D97F" w14:textId="77777777" w:rsidR="001463B9" w:rsidRDefault="001463B9" w:rsidP="0014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7368" w14:textId="77777777" w:rsidR="001463B9" w:rsidRDefault="001463B9" w:rsidP="001463B9">
      <w:r>
        <w:separator/>
      </w:r>
    </w:p>
  </w:footnote>
  <w:footnote w:type="continuationSeparator" w:id="0">
    <w:p w14:paraId="1352EE09" w14:textId="77777777" w:rsidR="001463B9" w:rsidRDefault="001463B9" w:rsidP="0014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B3B"/>
    <w:multiLevelType w:val="hybridMultilevel"/>
    <w:tmpl w:val="101A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2436"/>
    <w:multiLevelType w:val="hybridMultilevel"/>
    <w:tmpl w:val="E910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271F"/>
    <w:multiLevelType w:val="hybridMultilevel"/>
    <w:tmpl w:val="8BB62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3292C"/>
    <w:multiLevelType w:val="hybridMultilevel"/>
    <w:tmpl w:val="5120A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6037C"/>
    <w:multiLevelType w:val="hybridMultilevel"/>
    <w:tmpl w:val="CC94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35A45"/>
    <w:multiLevelType w:val="hybridMultilevel"/>
    <w:tmpl w:val="904C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10652">
    <w:abstractNumId w:val="3"/>
  </w:num>
  <w:num w:numId="2" w16cid:durableId="267665036">
    <w:abstractNumId w:val="2"/>
  </w:num>
  <w:num w:numId="3" w16cid:durableId="1666779672">
    <w:abstractNumId w:val="4"/>
  </w:num>
  <w:num w:numId="4" w16cid:durableId="1712145926">
    <w:abstractNumId w:val="0"/>
  </w:num>
  <w:num w:numId="5" w16cid:durableId="53630207">
    <w:abstractNumId w:val="5"/>
  </w:num>
  <w:num w:numId="6" w16cid:durableId="33072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2B"/>
    <w:rsid w:val="000039E7"/>
    <w:rsid w:val="00006481"/>
    <w:rsid w:val="000115C9"/>
    <w:rsid w:val="00031097"/>
    <w:rsid w:val="00033F4F"/>
    <w:rsid w:val="00091BFA"/>
    <w:rsid w:val="0011395A"/>
    <w:rsid w:val="00121B2B"/>
    <w:rsid w:val="00122C91"/>
    <w:rsid w:val="001463B9"/>
    <w:rsid w:val="00154DFD"/>
    <w:rsid w:val="001826A1"/>
    <w:rsid w:val="001876E5"/>
    <w:rsid w:val="001B29A7"/>
    <w:rsid w:val="001F3586"/>
    <w:rsid w:val="002136DF"/>
    <w:rsid w:val="002301B9"/>
    <w:rsid w:val="002352DF"/>
    <w:rsid w:val="00270396"/>
    <w:rsid w:val="002C6E55"/>
    <w:rsid w:val="002E3929"/>
    <w:rsid w:val="002F1DA8"/>
    <w:rsid w:val="0032516C"/>
    <w:rsid w:val="003404EB"/>
    <w:rsid w:val="00343709"/>
    <w:rsid w:val="00354B8F"/>
    <w:rsid w:val="00363448"/>
    <w:rsid w:val="003714F3"/>
    <w:rsid w:val="00377561"/>
    <w:rsid w:val="003816AD"/>
    <w:rsid w:val="00395249"/>
    <w:rsid w:val="003B471A"/>
    <w:rsid w:val="003B75E8"/>
    <w:rsid w:val="003C2BAE"/>
    <w:rsid w:val="003E7DFA"/>
    <w:rsid w:val="00407422"/>
    <w:rsid w:val="00411AAB"/>
    <w:rsid w:val="00463920"/>
    <w:rsid w:val="004853C0"/>
    <w:rsid w:val="00486059"/>
    <w:rsid w:val="00486328"/>
    <w:rsid w:val="00503061"/>
    <w:rsid w:val="005171D5"/>
    <w:rsid w:val="00523288"/>
    <w:rsid w:val="00591F48"/>
    <w:rsid w:val="005B35E1"/>
    <w:rsid w:val="005E1974"/>
    <w:rsid w:val="005E4734"/>
    <w:rsid w:val="00605AB0"/>
    <w:rsid w:val="00625989"/>
    <w:rsid w:val="00644AFC"/>
    <w:rsid w:val="00650E8C"/>
    <w:rsid w:val="006641DB"/>
    <w:rsid w:val="00695DA3"/>
    <w:rsid w:val="006B06F5"/>
    <w:rsid w:val="006D71C5"/>
    <w:rsid w:val="006E6E23"/>
    <w:rsid w:val="006F7682"/>
    <w:rsid w:val="00724F0B"/>
    <w:rsid w:val="0073164C"/>
    <w:rsid w:val="007345C6"/>
    <w:rsid w:val="00747929"/>
    <w:rsid w:val="007B19DA"/>
    <w:rsid w:val="007B5B3D"/>
    <w:rsid w:val="007F17A6"/>
    <w:rsid w:val="007F4DC5"/>
    <w:rsid w:val="00816C57"/>
    <w:rsid w:val="00821564"/>
    <w:rsid w:val="008616DA"/>
    <w:rsid w:val="008B5F2F"/>
    <w:rsid w:val="008C35F8"/>
    <w:rsid w:val="008C7AF7"/>
    <w:rsid w:val="008F4252"/>
    <w:rsid w:val="009014B7"/>
    <w:rsid w:val="009377FD"/>
    <w:rsid w:val="0095125B"/>
    <w:rsid w:val="00951E0E"/>
    <w:rsid w:val="00993D2D"/>
    <w:rsid w:val="009B78FD"/>
    <w:rsid w:val="009D5A42"/>
    <w:rsid w:val="00A03960"/>
    <w:rsid w:val="00A1782C"/>
    <w:rsid w:val="00A415B8"/>
    <w:rsid w:val="00A86295"/>
    <w:rsid w:val="00AB623F"/>
    <w:rsid w:val="00B179A5"/>
    <w:rsid w:val="00B510CE"/>
    <w:rsid w:val="00BA3004"/>
    <w:rsid w:val="00BB029F"/>
    <w:rsid w:val="00BC5C4C"/>
    <w:rsid w:val="00BC5FA4"/>
    <w:rsid w:val="00BD0BD5"/>
    <w:rsid w:val="00BE28B2"/>
    <w:rsid w:val="00BF5BB0"/>
    <w:rsid w:val="00C12B01"/>
    <w:rsid w:val="00C37443"/>
    <w:rsid w:val="00C377DF"/>
    <w:rsid w:val="00C41376"/>
    <w:rsid w:val="00C63DEB"/>
    <w:rsid w:val="00C70346"/>
    <w:rsid w:val="00C80846"/>
    <w:rsid w:val="00C93000"/>
    <w:rsid w:val="00CC43C7"/>
    <w:rsid w:val="00CE6504"/>
    <w:rsid w:val="00CF4870"/>
    <w:rsid w:val="00CF5116"/>
    <w:rsid w:val="00D32A0D"/>
    <w:rsid w:val="00D42D01"/>
    <w:rsid w:val="00D87B4A"/>
    <w:rsid w:val="00DF6A4E"/>
    <w:rsid w:val="00E212CD"/>
    <w:rsid w:val="00E21678"/>
    <w:rsid w:val="00EB7478"/>
    <w:rsid w:val="00ED5FB2"/>
    <w:rsid w:val="00F036C1"/>
    <w:rsid w:val="00F132A7"/>
    <w:rsid w:val="00F21F49"/>
    <w:rsid w:val="00F226B2"/>
    <w:rsid w:val="00F444AF"/>
    <w:rsid w:val="00F511D2"/>
    <w:rsid w:val="00F726B9"/>
    <w:rsid w:val="00F968EA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98AA3"/>
  <w15:chartTrackingRefBased/>
  <w15:docId w15:val="{0303F1B7-7809-7C43-9274-FD5E5DD5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9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9E7"/>
    <w:rPr>
      <w:color w:val="605E5C"/>
      <w:shd w:val="clear" w:color="auto" w:fill="E1DFDD"/>
    </w:rPr>
  </w:style>
  <w:style w:type="character" w:customStyle="1" w:styleId="s4">
    <w:name w:val="s4"/>
    <w:basedOn w:val="DefaultParagraphFont"/>
    <w:rsid w:val="0073164C"/>
  </w:style>
  <w:style w:type="character" w:customStyle="1" w:styleId="apple-converted-space">
    <w:name w:val="apple-converted-space"/>
    <w:basedOn w:val="DefaultParagraphFont"/>
    <w:rsid w:val="0073164C"/>
  </w:style>
  <w:style w:type="character" w:customStyle="1" w:styleId="s5">
    <w:name w:val="s5"/>
    <w:basedOn w:val="DefaultParagraphFont"/>
    <w:rsid w:val="0073164C"/>
  </w:style>
  <w:style w:type="character" w:customStyle="1" w:styleId="s10">
    <w:name w:val="s10"/>
    <w:basedOn w:val="DefaultParagraphFont"/>
    <w:rsid w:val="001B29A7"/>
  </w:style>
  <w:style w:type="character" w:customStyle="1" w:styleId="s11">
    <w:name w:val="s11"/>
    <w:basedOn w:val="DefaultParagraphFont"/>
    <w:rsid w:val="001B29A7"/>
  </w:style>
  <w:style w:type="paragraph" w:styleId="FootnoteText">
    <w:name w:val="footnote text"/>
    <w:basedOn w:val="Normal"/>
    <w:link w:val="FootnoteTextChar"/>
    <w:uiPriority w:val="99"/>
    <w:semiHidden/>
    <w:unhideWhenUsed/>
    <w:rsid w:val="001463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3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3B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463B9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4A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4A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4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cerresearchuk.org/health-professional/cancer-statistics/statistics-by-cancer-type/head-and-neck-canc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Risk, Janet</dc:creator>
  <cp:keywords/>
  <dc:description/>
  <cp:lastModifiedBy>Risk, Janet</cp:lastModifiedBy>
  <cp:revision>2</cp:revision>
  <dcterms:created xsi:type="dcterms:W3CDTF">2022-10-22T16:11:00Z</dcterms:created>
  <dcterms:modified xsi:type="dcterms:W3CDTF">2022-10-22T16:11:00Z</dcterms:modified>
</cp:coreProperties>
</file>