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E2" w:rsidRDefault="00F95DE2" w:rsidP="00F95DE2">
      <w:pPr>
        <w:pStyle w:val="Heading2"/>
        <w:spacing w:before="240"/>
      </w:pPr>
    </w:p>
    <w:p w:rsidR="005D291D" w:rsidRDefault="00B53A50" w:rsidP="00F95DE2">
      <w:pPr>
        <w:pStyle w:val="Heading2"/>
        <w:spacing w:before="240"/>
      </w:pPr>
      <w:r>
        <w:t>Tutorial</w:t>
      </w:r>
      <w:r w:rsidR="00A72015">
        <w:t xml:space="preserve"> 2</w:t>
      </w:r>
    </w:p>
    <w:p w:rsidR="006721F0" w:rsidRDefault="006721F0" w:rsidP="006721F0">
      <w:r>
        <w:t xml:space="preserve">Issued </w:t>
      </w:r>
      <w:r>
        <w:tab/>
      </w:r>
      <w:r>
        <w:tab/>
      </w:r>
      <w:r>
        <w:tab/>
      </w:r>
      <w:r>
        <w:tab/>
      </w:r>
      <w:r>
        <w:tab/>
      </w:r>
      <w:r w:rsidR="007730C6">
        <w:tab/>
      </w:r>
      <w:r w:rsidR="007730C6">
        <w:tab/>
      </w:r>
      <w:r w:rsidR="007C7965">
        <w:t>Thur</w:t>
      </w:r>
      <w:r w:rsidR="006022A5">
        <w:t>sday 14</w:t>
      </w:r>
      <w:r w:rsidR="00C349CD">
        <w:rPr>
          <w:vertAlign w:val="superscript"/>
        </w:rPr>
        <w:t>th</w:t>
      </w:r>
      <w:r w:rsidR="00C349CD">
        <w:t xml:space="preserve"> </w:t>
      </w:r>
      <w:r>
        <w:t>October</w:t>
      </w:r>
      <w:r>
        <w:br/>
        <w:t>Hand in to tutors</w:t>
      </w:r>
      <w:r>
        <w:tab/>
      </w:r>
      <w:r>
        <w:tab/>
      </w:r>
      <w:r>
        <w:tab/>
      </w:r>
      <w:r w:rsidR="007730C6">
        <w:tab/>
      </w:r>
      <w:r w:rsidR="007730C6">
        <w:tab/>
      </w:r>
      <w:r w:rsidR="007C7965">
        <w:t>Wednesday 20</w:t>
      </w:r>
      <w:r w:rsidR="006022A5">
        <w:rPr>
          <w:vertAlign w:val="superscript"/>
        </w:rPr>
        <w:t>t</w:t>
      </w:r>
      <w:r w:rsidR="007C7965">
        <w:rPr>
          <w:vertAlign w:val="superscript"/>
        </w:rPr>
        <w:t>h</w:t>
      </w:r>
      <w:r w:rsidR="004565AD">
        <w:t xml:space="preserve"> Octo</w:t>
      </w:r>
      <w:r>
        <w:t>ber</w:t>
      </w:r>
      <w:r w:rsidR="007319AE">
        <w:t xml:space="preserve"> 16</w:t>
      </w:r>
      <w:r w:rsidR="00F02C53">
        <w:t>:00</w:t>
      </w:r>
      <w:r>
        <w:br/>
        <w:t>Tutorials</w:t>
      </w:r>
      <w:r>
        <w:tab/>
      </w:r>
      <w:r>
        <w:tab/>
      </w:r>
      <w:r>
        <w:tab/>
      </w:r>
      <w:r>
        <w:tab/>
      </w:r>
      <w:r w:rsidR="007730C6">
        <w:tab/>
      </w:r>
      <w:r w:rsidR="007730C6">
        <w:tab/>
      </w:r>
      <w:r w:rsidR="006022A5">
        <w:t>Friday</w:t>
      </w:r>
      <w:r w:rsidR="007C7965">
        <w:t xml:space="preserve"> 22</w:t>
      </w:r>
      <w:r w:rsidR="007C7965">
        <w:rPr>
          <w:vertAlign w:val="superscript"/>
        </w:rPr>
        <w:t>n</w:t>
      </w:r>
      <w:r w:rsidR="007319AE" w:rsidRPr="007319AE">
        <w:rPr>
          <w:vertAlign w:val="superscript"/>
        </w:rPr>
        <w:t>d</w:t>
      </w:r>
      <w:r w:rsidR="006022A5">
        <w:t xml:space="preserve"> </w:t>
      </w:r>
      <w:r w:rsidR="004565AD">
        <w:t>October</w:t>
      </w:r>
    </w:p>
    <w:p w:rsidR="006721F0" w:rsidRDefault="006721F0" w:rsidP="006721F0">
      <w:pPr>
        <w:spacing w:before="240"/>
      </w:pPr>
      <w:r>
        <w:t>See the Year 1 Notice Board for tutorial groups, tutors, locations and tim</w:t>
      </w:r>
      <w:r w:rsidR="00F95DE2">
        <w:t>es of tutorials.</w:t>
      </w:r>
    </w:p>
    <w:p w:rsidR="00C349CD" w:rsidRDefault="006721F0" w:rsidP="001B07F8">
      <w:pPr>
        <w:pStyle w:val="Heading2"/>
        <w:spacing w:before="240"/>
      </w:pPr>
      <w:r>
        <w:t>Problems</w:t>
      </w:r>
    </w:p>
    <w:p w:rsidR="001B07F8" w:rsidRDefault="001B07F8" w:rsidP="00C349CD">
      <w:pPr>
        <w:numPr>
          <w:ilvl w:val="0"/>
          <w:numId w:val="3"/>
        </w:numPr>
        <w:tabs>
          <w:tab w:val="clear" w:pos="720"/>
        </w:tabs>
      </w:pPr>
      <w:r>
        <w:t xml:space="preserve">A proton is placed in a uniform electric field at the surface of the earth and the </w:t>
      </w:r>
      <w:r w:rsidR="00D37883">
        <w:t xml:space="preserve">electric </w:t>
      </w:r>
      <w:r>
        <w:t xml:space="preserve">field </w:t>
      </w:r>
      <w:r w:rsidR="00D37883">
        <w:t xml:space="preserve">is </w:t>
      </w:r>
      <w:r>
        <w:t>adjusted until the proton is held stationary in the electric field and the earth’s gravitational field. What are the direction and magnitude of the electric field?</w:t>
      </w:r>
    </w:p>
    <w:p w:rsidR="00612974" w:rsidRDefault="00C349CD" w:rsidP="001B07F8">
      <w:pPr>
        <w:numPr>
          <w:ilvl w:val="0"/>
          <w:numId w:val="3"/>
        </w:numPr>
        <w:tabs>
          <w:tab w:val="clear" w:pos="720"/>
        </w:tabs>
        <w:spacing w:before="240"/>
      </w:pPr>
      <w:r>
        <w:t>A positive charge of +2</w:t>
      </w:r>
      <w:r w:rsidRPr="00C349CD">
        <w:rPr>
          <w:rFonts w:ascii="Symbol" w:hAnsi="Symbol"/>
        </w:rPr>
        <w:t></w:t>
      </w:r>
      <w:r>
        <w:t xml:space="preserve">C is placed at the centre of spherical Gaussian surface. What is the total electric flux out of the surface? </w:t>
      </w:r>
      <w:r>
        <w:br/>
        <w:t xml:space="preserve">The same charge is now placed at the centre of a cubical Gaussian </w:t>
      </w:r>
      <w:r w:rsidR="00D37883">
        <w:t xml:space="preserve">surface. What is the total </w:t>
      </w:r>
      <w:r>
        <w:t xml:space="preserve">electric flux out of this surface? </w:t>
      </w:r>
      <w:r>
        <w:br/>
        <w:t>What is the elect</w:t>
      </w:r>
      <w:r w:rsidR="00D37883">
        <w:t>ric flux through each of the</w:t>
      </w:r>
      <w:r w:rsidR="00F95DE2">
        <w:t xml:space="preserve"> faces of the cube?</w:t>
      </w:r>
      <w:r>
        <w:br/>
        <w:t>Do these results depend on the size of the cube?</w:t>
      </w:r>
    </w:p>
    <w:p w:rsidR="00C349CD" w:rsidRDefault="00B73407" w:rsidP="00C349CD">
      <w:pPr>
        <w:numPr>
          <w:ilvl w:val="0"/>
          <w:numId w:val="3"/>
        </w:numPr>
        <w:tabs>
          <w:tab w:val="clear" w:pos="720"/>
        </w:tabs>
        <w:spacing w:before="240"/>
      </w:pPr>
      <w:r>
        <w:t>The earth’s electric field is measured at a height of 200</w:t>
      </w:r>
      <w:r>
        <w:rPr>
          <w:vertAlign w:val="superscript"/>
        </w:rPr>
        <w:t> </w:t>
      </w:r>
      <w:r w:rsidRPr="00B73407">
        <w:t xml:space="preserve">m </w:t>
      </w:r>
      <w:r>
        <w:t xml:space="preserve">and is found to be directed </w:t>
      </w:r>
      <w:r w:rsidRPr="00B73407">
        <w:t xml:space="preserve">vertically downwards </w:t>
      </w:r>
      <w:r w:rsidR="00993DF1">
        <w:t>and</w:t>
      </w:r>
      <w:r w:rsidR="00D37883">
        <w:t xml:space="preserve"> to</w:t>
      </w:r>
      <w:r w:rsidR="00993DF1">
        <w:t xml:space="preserve"> have</w:t>
      </w:r>
      <w:r w:rsidR="00AA52D3">
        <w:t xml:space="preserve"> a strength</w:t>
      </w:r>
      <w:r w:rsidRPr="00B73407">
        <w:t xml:space="preserve"> </w:t>
      </w:r>
      <w:r w:rsidR="00AA52D3">
        <w:t xml:space="preserve">of </w:t>
      </w:r>
      <w:r w:rsidRPr="00B73407">
        <w:t>100</w:t>
      </w:r>
      <w:r w:rsidRPr="00B73407">
        <w:rPr>
          <w:vertAlign w:val="superscript"/>
        </w:rPr>
        <w:t> </w:t>
      </w:r>
      <w:r w:rsidRPr="00B73407">
        <w:t>Vm</w:t>
      </w:r>
      <w:r w:rsidRPr="00B73407">
        <w:rPr>
          <w:rFonts w:ascii="Symbol" w:hAnsi="Symbol"/>
          <w:vertAlign w:val="superscript"/>
        </w:rPr>
        <w:t></w:t>
      </w:r>
      <w:r w:rsidRPr="00B73407">
        <w:rPr>
          <w:vertAlign w:val="superscript"/>
        </w:rPr>
        <w:t>1</w:t>
      </w:r>
      <w:r w:rsidRPr="00B73407">
        <w:t>. At a height of 300</w:t>
      </w:r>
      <w:r w:rsidRPr="00B73407">
        <w:rPr>
          <w:vertAlign w:val="superscript"/>
        </w:rPr>
        <w:t> </w:t>
      </w:r>
      <w:r w:rsidRPr="00B73407">
        <w:t>m, the direction of the field is found to be the same, but the field</w:t>
      </w:r>
      <w:r w:rsidR="00D37883">
        <w:t>’s</w:t>
      </w:r>
      <w:r w:rsidRPr="00B73407">
        <w:t xml:space="preserve"> strength has decreased to 60</w:t>
      </w:r>
      <w:r w:rsidRPr="00B73407">
        <w:rPr>
          <w:vertAlign w:val="superscript"/>
        </w:rPr>
        <w:t> </w:t>
      </w:r>
      <w:r w:rsidRPr="00B73407">
        <w:t>Vm</w:t>
      </w:r>
      <w:r w:rsidRPr="00B73407">
        <w:rPr>
          <w:rFonts w:ascii="Symbol" w:hAnsi="Symbol"/>
          <w:vertAlign w:val="superscript"/>
        </w:rPr>
        <w:t></w:t>
      </w:r>
      <w:r w:rsidRPr="00B73407">
        <w:rPr>
          <w:vertAlign w:val="superscript"/>
        </w:rPr>
        <w:t>1</w:t>
      </w:r>
      <w:r w:rsidRPr="00B73407">
        <w:t xml:space="preserve">. Use Gauss’ law to determine the </w:t>
      </w:r>
      <w:r>
        <w:t>amount of charge contained in a cube of side 100</w:t>
      </w:r>
      <w:r>
        <w:rPr>
          <w:vertAlign w:val="superscript"/>
        </w:rPr>
        <w:t> </w:t>
      </w:r>
      <w:r>
        <w:t>m with one face parallel to the earth’s surface located at a height between 200</w:t>
      </w:r>
      <w:r>
        <w:rPr>
          <w:vertAlign w:val="superscript"/>
        </w:rPr>
        <w:t> </w:t>
      </w:r>
      <w:r>
        <w:t>m and 300</w:t>
      </w:r>
      <w:r>
        <w:rPr>
          <w:vertAlign w:val="superscript"/>
        </w:rPr>
        <w:t> </w:t>
      </w:r>
      <w:r>
        <w:t>m.</w:t>
      </w:r>
      <w:r w:rsidR="00403B4C">
        <w:t xml:space="preserve"> (You may ignore the curvature of the earth.)</w:t>
      </w:r>
    </w:p>
    <w:p w:rsidR="00B73407" w:rsidRPr="00B73407" w:rsidRDefault="00AC1161" w:rsidP="00C349CD">
      <w:pPr>
        <w:numPr>
          <w:ilvl w:val="0"/>
          <w:numId w:val="3"/>
        </w:numPr>
        <w:tabs>
          <w:tab w:val="clear" w:pos="720"/>
        </w:tabs>
        <w:spacing w:before="240"/>
      </w:pPr>
      <w:r>
        <w:t>Four</w:t>
      </w:r>
      <w:r w:rsidR="00B73407">
        <w:t xml:space="preserve"> point charges of value 1</w:t>
      </w:r>
      <w:r w:rsidR="00B73407">
        <w:rPr>
          <w:vertAlign w:val="superscript"/>
        </w:rPr>
        <w:t> </w:t>
      </w:r>
      <w:r w:rsidR="00B73407">
        <w:t>nC, 2</w:t>
      </w:r>
      <w:r w:rsidR="00B73407">
        <w:rPr>
          <w:vertAlign w:val="superscript"/>
        </w:rPr>
        <w:t> </w:t>
      </w:r>
      <w:r w:rsidR="00B73407">
        <w:t>nC</w:t>
      </w:r>
      <w:r>
        <w:t>, 3</w:t>
      </w:r>
      <w:r>
        <w:rPr>
          <w:vertAlign w:val="superscript"/>
        </w:rPr>
        <w:t> </w:t>
      </w:r>
      <w:r>
        <w:t>nC and 4</w:t>
      </w:r>
      <w:r w:rsidR="00B73407">
        <w:rPr>
          <w:vertAlign w:val="superscript"/>
        </w:rPr>
        <w:t> </w:t>
      </w:r>
      <w:r w:rsidR="00B73407">
        <w:t>nC are placed in turn at the corners of a</w:t>
      </w:r>
      <w:r>
        <w:t xml:space="preserve"> square of side 10</w:t>
      </w:r>
      <w:r w:rsidR="00B73407">
        <w:rPr>
          <w:vertAlign w:val="superscript"/>
        </w:rPr>
        <w:t> </w:t>
      </w:r>
      <w:r>
        <w:t xml:space="preserve">cm in a clockwise sequence. Determine the </w:t>
      </w:r>
      <w:r w:rsidR="008376FE">
        <w:t xml:space="preserve">direction and magnitude of </w:t>
      </w:r>
      <w:r>
        <w:t>the electric field and the</w:t>
      </w:r>
      <w:r w:rsidR="008376FE">
        <w:t xml:space="preserve"> value of</w:t>
      </w:r>
      <w:r>
        <w:t xml:space="preserve"> electric potential at the centre of the square.</w:t>
      </w:r>
      <w:r>
        <w:br/>
      </w:r>
      <w:r w:rsidR="00DF69E5">
        <w:t xml:space="preserve">Which </w:t>
      </w:r>
      <w:r>
        <w:t>o</w:t>
      </w:r>
      <w:r w:rsidR="00DF69E5">
        <w:t>f</w:t>
      </w:r>
      <w:r>
        <w:t xml:space="preserve"> these </w:t>
      </w:r>
      <w:r w:rsidR="00DF69E5">
        <w:t xml:space="preserve">quantities </w:t>
      </w:r>
      <w:r>
        <w:t>change</w:t>
      </w:r>
      <w:r w:rsidR="00DF69E5">
        <w:t>s</w:t>
      </w:r>
      <w:r>
        <w:t xml:space="preserve"> if the charges are placed</w:t>
      </w:r>
      <w:r w:rsidR="00DF69E5">
        <w:t xml:space="preserve"> in an anti-clockwise sequence?</w:t>
      </w:r>
      <w:r>
        <w:br/>
        <w:t>Calculate the potential energy of the system assuming that all charges are brought in from infinite distance. (Hint: the potential energy of a charge q at a point w</w:t>
      </w:r>
      <w:r w:rsidR="00470B0F">
        <w:t>ith electric potential V is qV.</w:t>
      </w:r>
    </w:p>
    <w:sectPr w:rsidR="00B73407" w:rsidRPr="00B73407" w:rsidSect="00F66900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40" w:rsidRDefault="00976740">
      <w:r>
        <w:separator/>
      </w:r>
    </w:p>
  </w:endnote>
  <w:endnote w:type="continuationSeparator" w:id="0">
    <w:p w:rsidR="00976740" w:rsidRDefault="0097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40" w:rsidRDefault="00976740">
      <w:r>
        <w:separator/>
      </w:r>
    </w:p>
  </w:footnote>
  <w:footnote w:type="continuationSeparator" w:id="0">
    <w:p w:rsidR="00976740" w:rsidRDefault="0097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F" w:rsidRPr="009429F3" w:rsidRDefault="009D2A85" w:rsidP="009429F3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 w:rsidRPr="009D2A85">
      <w:rPr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-352425</wp:posOffset>
          </wp:positionV>
          <wp:extent cx="2581275" cy="1200150"/>
          <wp:effectExtent l="0" t="0" r="0" b="0"/>
          <wp:wrapSquare wrapText="bothSides"/>
          <wp:docPr id="5" name="Picture 2" descr="ColourLogo0848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Logo0848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9F3">
      <w:rPr>
        <w:bCs/>
        <w:color w:val="000000"/>
        <w:sz w:val="32"/>
        <w:szCs w:val="32"/>
        <w:lang w:val="it-IT"/>
      </w:rPr>
      <w:t>Department of Physics</w:t>
    </w:r>
    <w:r w:rsidR="007B36AC">
      <w:rPr>
        <w:bCs/>
        <w:color w:val="000000"/>
        <w:sz w:val="28"/>
        <w:szCs w:val="28"/>
        <w:lang w:val="it-IT"/>
      </w:rPr>
      <w:br/>
    </w:r>
    <w:r w:rsidR="009D341F" w:rsidRPr="009D341F">
      <w:rPr>
        <w:bCs/>
        <w:color w:val="000000"/>
        <w:sz w:val="28"/>
        <w:szCs w:val="28"/>
        <w:lang w:val="it-IT"/>
      </w:rPr>
      <w:t>Year 1 Tutorials</w:t>
    </w:r>
    <w:r w:rsidR="009D341F" w:rsidRPr="009D341F">
      <w:rPr>
        <w:bCs/>
        <w:color w:val="000000"/>
        <w:sz w:val="28"/>
        <w:szCs w:val="28"/>
        <w:lang w:val="it-IT"/>
      </w:rPr>
      <w:br/>
      <w:t>Module Phys123</w:t>
    </w:r>
    <w:r w:rsidR="009D341F">
      <w:rPr>
        <w:bCs/>
        <w:color w:val="000000"/>
        <w:sz w:val="28"/>
        <w:szCs w:val="28"/>
        <w:lang w:val="it-IT"/>
      </w:rPr>
      <w:br/>
    </w:r>
    <w:r w:rsidR="007B36AC">
      <w:rPr>
        <w:bCs/>
        <w:color w:val="000000"/>
        <w:sz w:val="28"/>
        <w:szCs w:val="28"/>
        <w:lang w:val="it-IT"/>
      </w:rPr>
      <w:t>Electricity and Magnetism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571"/>
    <w:multiLevelType w:val="hybridMultilevel"/>
    <w:tmpl w:val="81D67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69C0"/>
    <w:multiLevelType w:val="hybridMultilevel"/>
    <w:tmpl w:val="55F87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B11A9"/>
    <w:multiLevelType w:val="hybridMultilevel"/>
    <w:tmpl w:val="CDCCA2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08F"/>
    <w:rsid w:val="000227CC"/>
    <w:rsid w:val="00067C24"/>
    <w:rsid w:val="000918C6"/>
    <w:rsid w:val="0009479B"/>
    <w:rsid w:val="000D3FAD"/>
    <w:rsid w:val="00111D11"/>
    <w:rsid w:val="001B07F8"/>
    <w:rsid w:val="00202194"/>
    <w:rsid w:val="00281B42"/>
    <w:rsid w:val="003276FB"/>
    <w:rsid w:val="00365D8A"/>
    <w:rsid w:val="003746F4"/>
    <w:rsid w:val="003B2239"/>
    <w:rsid w:val="003E3251"/>
    <w:rsid w:val="00403B4C"/>
    <w:rsid w:val="004442F0"/>
    <w:rsid w:val="004565AD"/>
    <w:rsid w:val="00470B0F"/>
    <w:rsid w:val="00476592"/>
    <w:rsid w:val="004B60F5"/>
    <w:rsid w:val="004F05CF"/>
    <w:rsid w:val="00515C33"/>
    <w:rsid w:val="005468D4"/>
    <w:rsid w:val="00581DB1"/>
    <w:rsid w:val="00586A9E"/>
    <w:rsid w:val="00593C2F"/>
    <w:rsid w:val="00594999"/>
    <w:rsid w:val="005D0D1D"/>
    <w:rsid w:val="005D291D"/>
    <w:rsid w:val="005F1A4F"/>
    <w:rsid w:val="006022A5"/>
    <w:rsid w:val="00612974"/>
    <w:rsid w:val="006721F0"/>
    <w:rsid w:val="006909C0"/>
    <w:rsid w:val="0069236F"/>
    <w:rsid w:val="006A4B03"/>
    <w:rsid w:val="006C0A4C"/>
    <w:rsid w:val="00706401"/>
    <w:rsid w:val="00721D80"/>
    <w:rsid w:val="007319AE"/>
    <w:rsid w:val="007730C6"/>
    <w:rsid w:val="007B36AC"/>
    <w:rsid w:val="007B409A"/>
    <w:rsid w:val="007C7965"/>
    <w:rsid w:val="007D310B"/>
    <w:rsid w:val="007F0B0A"/>
    <w:rsid w:val="00821C49"/>
    <w:rsid w:val="008376FE"/>
    <w:rsid w:val="0085508F"/>
    <w:rsid w:val="008620A9"/>
    <w:rsid w:val="00875470"/>
    <w:rsid w:val="00881E0A"/>
    <w:rsid w:val="008C0630"/>
    <w:rsid w:val="009429F3"/>
    <w:rsid w:val="00947386"/>
    <w:rsid w:val="0096230A"/>
    <w:rsid w:val="009654AB"/>
    <w:rsid w:val="00976740"/>
    <w:rsid w:val="00993DF1"/>
    <w:rsid w:val="009D1D9A"/>
    <w:rsid w:val="009D2A85"/>
    <w:rsid w:val="009D341F"/>
    <w:rsid w:val="009D6DC6"/>
    <w:rsid w:val="00A07A0C"/>
    <w:rsid w:val="00A314ED"/>
    <w:rsid w:val="00A52182"/>
    <w:rsid w:val="00A72015"/>
    <w:rsid w:val="00AA52D3"/>
    <w:rsid w:val="00AC0415"/>
    <w:rsid w:val="00AC1161"/>
    <w:rsid w:val="00AD775D"/>
    <w:rsid w:val="00B10F2B"/>
    <w:rsid w:val="00B21E9E"/>
    <w:rsid w:val="00B47B60"/>
    <w:rsid w:val="00B53A50"/>
    <w:rsid w:val="00B73407"/>
    <w:rsid w:val="00BE4484"/>
    <w:rsid w:val="00BE5635"/>
    <w:rsid w:val="00BF6CFF"/>
    <w:rsid w:val="00C04723"/>
    <w:rsid w:val="00C3360A"/>
    <w:rsid w:val="00C349CD"/>
    <w:rsid w:val="00C6380A"/>
    <w:rsid w:val="00CC6E5C"/>
    <w:rsid w:val="00CF58EC"/>
    <w:rsid w:val="00D37883"/>
    <w:rsid w:val="00D65543"/>
    <w:rsid w:val="00D93B36"/>
    <w:rsid w:val="00DF69E5"/>
    <w:rsid w:val="00E03EC2"/>
    <w:rsid w:val="00E107BB"/>
    <w:rsid w:val="00E3218A"/>
    <w:rsid w:val="00E407EB"/>
    <w:rsid w:val="00F006F8"/>
    <w:rsid w:val="00F02C53"/>
    <w:rsid w:val="00F136F9"/>
    <w:rsid w:val="00F3080F"/>
    <w:rsid w:val="00F409DC"/>
    <w:rsid w:val="00F66900"/>
    <w:rsid w:val="00F80662"/>
    <w:rsid w:val="00F90DF0"/>
    <w:rsid w:val="00F928C5"/>
    <w:rsid w:val="00F95DE2"/>
    <w:rsid w:val="00F966E4"/>
    <w:rsid w:val="00FA67AA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630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D1D9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9D1D9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63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C0630"/>
    <w:rPr>
      <w:color w:val="0000FF"/>
      <w:u w:val="single"/>
    </w:rPr>
  </w:style>
  <w:style w:type="paragraph" w:styleId="HTMLAddress">
    <w:name w:val="HTML Address"/>
    <w:basedOn w:val="Normal"/>
    <w:rsid w:val="00875470"/>
    <w:rPr>
      <w:i/>
      <w:iCs/>
      <w:lang w:eastAsia="en-GB"/>
    </w:rPr>
  </w:style>
  <w:style w:type="character" w:styleId="FollowedHyperlink">
    <w:name w:val="FollowedHyperlink"/>
    <w:basedOn w:val="DefaultParagraphFont"/>
    <w:rsid w:val="00E107B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4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9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University Letter</vt:lpstr>
    </vt:vector>
  </TitlesOfParts>
  <Company>TOSHIBA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University Letter</dc:title>
  <dc:creator>Tim Greenshaw</dc:creator>
  <cp:lastModifiedBy>Tim Greenshaw</cp:lastModifiedBy>
  <cp:revision>2</cp:revision>
  <cp:lastPrinted>2005-10-02T18:10:00Z</cp:lastPrinted>
  <dcterms:created xsi:type="dcterms:W3CDTF">2010-10-12T16:06:00Z</dcterms:created>
  <dcterms:modified xsi:type="dcterms:W3CDTF">2010-10-12T16:06:00Z</dcterms:modified>
</cp:coreProperties>
</file>